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415"/>
        <w:gridCol w:w="7200"/>
      </w:tblGrid>
      <w:tr w:rsidR="00232B00" w:rsidTr="00DC2CCA">
        <w:trPr>
          <w:trHeight w:val="1250"/>
        </w:trPr>
        <w:tc>
          <w:tcPr>
            <w:tcW w:w="3415" w:type="dxa"/>
          </w:tcPr>
          <w:p w:rsidR="00232B00" w:rsidRDefault="00B3642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136AB1" wp14:editId="72F0DF24">
                  <wp:simplePos x="0" y="0"/>
                  <wp:positionH relativeFrom="margin">
                    <wp:posOffset>213995</wp:posOffset>
                  </wp:positionH>
                  <wp:positionV relativeFrom="paragraph">
                    <wp:posOffset>41275</wp:posOffset>
                  </wp:positionV>
                  <wp:extent cx="1261872" cy="731520"/>
                  <wp:effectExtent l="0" t="0" r="0" b="0"/>
                  <wp:wrapThrough wrapText="bothSides">
                    <wp:wrapPolygon edited="0">
                      <wp:start x="8479" y="0"/>
                      <wp:lineTo x="0" y="9563"/>
                      <wp:lineTo x="0" y="12938"/>
                      <wp:lineTo x="1631" y="20813"/>
                      <wp:lineTo x="4566" y="20813"/>
                      <wp:lineTo x="21198" y="20250"/>
                      <wp:lineTo x="21198" y="15188"/>
                      <wp:lineTo x="16958" y="10125"/>
                      <wp:lineTo x="18589" y="6750"/>
                      <wp:lineTo x="17937" y="5063"/>
                      <wp:lineTo x="14023" y="0"/>
                      <wp:lineTo x="8479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872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vAlign w:val="center"/>
          </w:tcPr>
          <w:p w:rsidR="00232B00" w:rsidRDefault="00232B00"/>
          <w:p w:rsidR="00232B00" w:rsidRPr="00232B00" w:rsidRDefault="00921D5F" w:rsidP="00232B0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Finance Committee </w:t>
            </w:r>
            <w:r w:rsidR="00232B00" w:rsidRPr="00232B00">
              <w:rPr>
                <w:sz w:val="40"/>
                <w:szCs w:val="40"/>
              </w:rPr>
              <w:t>Agenda Item</w:t>
            </w:r>
          </w:p>
        </w:tc>
      </w:tr>
      <w:tr w:rsidR="00232B00" w:rsidTr="00DC2CCA">
        <w:tc>
          <w:tcPr>
            <w:tcW w:w="3415" w:type="dxa"/>
          </w:tcPr>
          <w:p w:rsidR="00232B00" w:rsidRPr="00083E46" w:rsidRDefault="00232B00" w:rsidP="00DC2CCA">
            <w:pPr>
              <w:jc w:val="right"/>
              <w:rPr>
                <w:sz w:val="24"/>
                <w:szCs w:val="24"/>
              </w:rPr>
            </w:pPr>
            <w:r w:rsidRPr="00083E46">
              <w:rPr>
                <w:sz w:val="24"/>
                <w:szCs w:val="24"/>
              </w:rPr>
              <w:t>Meeting Date:</w:t>
            </w:r>
          </w:p>
        </w:tc>
        <w:tc>
          <w:tcPr>
            <w:tcW w:w="7200" w:type="dxa"/>
          </w:tcPr>
          <w:p w:rsidR="00232B00" w:rsidRPr="00083E46" w:rsidRDefault="00921D5F" w:rsidP="008328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31, 2023</w:t>
            </w:r>
            <w:bookmarkStart w:id="0" w:name="_GoBack"/>
            <w:bookmarkEnd w:id="0"/>
          </w:p>
        </w:tc>
      </w:tr>
      <w:tr w:rsidR="00232B00" w:rsidTr="00DC2CCA">
        <w:tc>
          <w:tcPr>
            <w:tcW w:w="3415" w:type="dxa"/>
          </w:tcPr>
          <w:p w:rsidR="00232B00" w:rsidRPr="00083E46" w:rsidRDefault="00232B00" w:rsidP="00DC2CCA">
            <w:pPr>
              <w:jc w:val="right"/>
              <w:rPr>
                <w:sz w:val="24"/>
                <w:szCs w:val="24"/>
              </w:rPr>
            </w:pPr>
            <w:r w:rsidRPr="00083E46">
              <w:rPr>
                <w:sz w:val="24"/>
                <w:szCs w:val="24"/>
              </w:rPr>
              <w:t>Agenda Item:</w:t>
            </w:r>
          </w:p>
        </w:tc>
        <w:tc>
          <w:tcPr>
            <w:tcW w:w="7200" w:type="dxa"/>
          </w:tcPr>
          <w:p w:rsidR="00232B00" w:rsidRPr="00083E46" w:rsidRDefault="00F04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E3BE2">
              <w:rPr>
                <w:sz w:val="24"/>
                <w:szCs w:val="24"/>
              </w:rPr>
              <w:t>2</w:t>
            </w:r>
            <w:r w:rsidR="008A00F9">
              <w:rPr>
                <w:sz w:val="24"/>
                <w:szCs w:val="24"/>
              </w:rPr>
              <w:t xml:space="preserve"> Budget Amendment</w:t>
            </w:r>
            <w:r w:rsidR="00FE3BE2">
              <w:rPr>
                <w:sz w:val="24"/>
                <w:szCs w:val="24"/>
              </w:rPr>
              <w:t xml:space="preserve"> </w:t>
            </w:r>
            <w:r w:rsidR="003468C4">
              <w:rPr>
                <w:sz w:val="24"/>
                <w:szCs w:val="24"/>
              </w:rPr>
              <w:t>2</w:t>
            </w:r>
          </w:p>
        </w:tc>
      </w:tr>
      <w:tr w:rsidR="00232B00" w:rsidTr="00DC2CCA">
        <w:tc>
          <w:tcPr>
            <w:tcW w:w="3415" w:type="dxa"/>
          </w:tcPr>
          <w:p w:rsidR="00232B00" w:rsidRPr="00083E46" w:rsidRDefault="00232B00" w:rsidP="00DC2CCA">
            <w:pPr>
              <w:jc w:val="right"/>
              <w:rPr>
                <w:sz w:val="24"/>
                <w:szCs w:val="24"/>
              </w:rPr>
            </w:pPr>
            <w:r w:rsidRPr="00083E46">
              <w:rPr>
                <w:sz w:val="24"/>
                <w:szCs w:val="24"/>
              </w:rPr>
              <w:t>Staff Contact</w:t>
            </w:r>
            <w:r w:rsidR="00DC2CCA">
              <w:rPr>
                <w:sz w:val="24"/>
                <w:szCs w:val="24"/>
              </w:rPr>
              <w:t xml:space="preserve"> </w:t>
            </w:r>
            <w:r w:rsidR="00DC2CCA" w:rsidRPr="00DC2CCA">
              <w:rPr>
                <w:sz w:val="20"/>
                <w:szCs w:val="20"/>
              </w:rPr>
              <w:t>(name, email, phone</w:t>
            </w:r>
            <w:r w:rsidR="00DC2CCA">
              <w:rPr>
                <w:sz w:val="16"/>
                <w:szCs w:val="16"/>
              </w:rPr>
              <w:t>)</w:t>
            </w:r>
            <w:r w:rsidRPr="00083E46">
              <w:rPr>
                <w:sz w:val="24"/>
                <w:szCs w:val="24"/>
              </w:rPr>
              <w:t>:</w:t>
            </w:r>
          </w:p>
        </w:tc>
        <w:tc>
          <w:tcPr>
            <w:tcW w:w="7200" w:type="dxa"/>
          </w:tcPr>
          <w:p w:rsidR="00232B00" w:rsidRPr="00083E46" w:rsidRDefault="00F04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 Hatton, </w:t>
            </w:r>
            <w:hyperlink r:id="rId9" w:history="1">
              <w:r w:rsidRPr="00C161B1">
                <w:rPr>
                  <w:rStyle w:val="Hyperlink"/>
                  <w:sz w:val="24"/>
                  <w:szCs w:val="24"/>
                </w:rPr>
                <w:t>shatton@whitewater-wi.gov</w:t>
              </w:r>
            </w:hyperlink>
            <w:r>
              <w:rPr>
                <w:sz w:val="24"/>
                <w:szCs w:val="24"/>
              </w:rPr>
              <w:t>, 262-473-1380</w:t>
            </w:r>
          </w:p>
        </w:tc>
      </w:tr>
    </w:tbl>
    <w:p w:rsidR="002B200B" w:rsidRDefault="00921D5F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56"/>
      </w:tblGrid>
      <w:tr w:rsidR="00232B00" w:rsidRPr="00083E46" w:rsidTr="00D63AE9">
        <w:tc>
          <w:tcPr>
            <w:tcW w:w="10615" w:type="dxa"/>
            <w:shd w:val="clear" w:color="auto" w:fill="DEEAF6" w:themeFill="accent5" w:themeFillTint="33"/>
          </w:tcPr>
          <w:p w:rsidR="00232B00" w:rsidRDefault="00232B00" w:rsidP="001F1F92">
            <w:pPr>
              <w:tabs>
                <w:tab w:val="left" w:pos="8980"/>
              </w:tabs>
              <w:ind w:left="-360" w:right="-520"/>
              <w:jc w:val="center"/>
              <w:rPr>
                <w:rFonts w:eastAsia="Times New Roman" w:cstheme="minorHAnsi"/>
                <w:spacing w:val="1"/>
                <w:position w:val="-1"/>
                <w:sz w:val="24"/>
                <w:szCs w:val="24"/>
              </w:rPr>
            </w:pPr>
            <w:r w:rsidRPr="00083E46">
              <w:rPr>
                <w:rFonts w:eastAsia="Times New Roman" w:cstheme="minorHAnsi"/>
                <w:spacing w:val="1"/>
                <w:position w:val="-1"/>
                <w:sz w:val="24"/>
                <w:szCs w:val="24"/>
              </w:rPr>
              <w:t>BACKGROUND</w:t>
            </w:r>
          </w:p>
          <w:p w:rsidR="00DC2CCA" w:rsidRPr="00DC2CCA" w:rsidRDefault="00DC2CCA" w:rsidP="001F1F92">
            <w:pPr>
              <w:tabs>
                <w:tab w:val="left" w:pos="8980"/>
              </w:tabs>
              <w:ind w:left="-360" w:right="-520"/>
              <w:jc w:val="center"/>
              <w:rPr>
                <w:rFonts w:eastAsia="Times New Roman" w:cstheme="minorHAnsi"/>
                <w:spacing w:val="1"/>
                <w:position w:val="-1"/>
                <w:sz w:val="20"/>
                <w:szCs w:val="20"/>
              </w:rPr>
            </w:pPr>
            <w:r w:rsidRPr="00DC2CCA">
              <w:rPr>
                <w:rFonts w:cstheme="minorHAnsi"/>
                <w:sz w:val="20"/>
                <w:szCs w:val="20"/>
              </w:rPr>
              <w:t>(Enter the who, what when, where, why)</w:t>
            </w:r>
          </w:p>
        </w:tc>
      </w:tr>
      <w:tr w:rsidR="00232B00" w:rsidRPr="00083E46" w:rsidTr="00D63AE9">
        <w:trPr>
          <w:trHeight w:val="864"/>
        </w:trPr>
        <w:tc>
          <w:tcPr>
            <w:tcW w:w="10615" w:type="dxa"/>
            <w:shd w:val="clear" w:color="auto" w:fill="auto"/>
          </w:tcPr>
          <w:p w:rsidR="00232B00" w:rsidRDefault="008A00F9" w:rsidP="00C438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Budget</w:t>
            </w:r>
            <w:r w:rsidR="003468C4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provide an estimate of anticipated Revenues and Expenditures for planning purposes. Budget values also provide a point of reference to help ensure anticipated revenues are realized and anticipated expenditures are not exceeded.  As assumptions used to set budget values change</w:t>
            </w:r>
            <w:r w:rsidR="00CA7D2A">
              <w:rPr>
                <w:rFonts w:cstheme="minorHAnsi"/>
                <w:sz w:val="24"/>
                <w:szCs w:val="24"/>
              </w:rPr>
              <w:t xml:space="preserve"> and unbudgeted actions are approved by Council</w:t>
            </w:r>
            <w:r>
              <w:rPr>
                <w:rFonts w:cstheme="minorHAnsi"/>
                <w:sz w:val="24"/>
                <w:szCs w:val="24"/>
              </w:rPr>
              <w:t xml:space="preserve">, the budget values must also </w:t>
            </w:r>
            <w:r w:rsidR="00CA7D2A">
              <w:rPr>
                <w:rFonts w:cstheme="minorHAnsi"/>
                <w:sz w:val="24"/>
                <w:szCs w:val="24"/>
              </w:rPr>
              <w:t xml:space="preserve">be updated </w:t>
            </w:r>
            <w:r>
              <w:rPr>
                <w:rFonts w:cstheme="minorHAnsi"/>
                <w:sz w:val="24"/>
                <w:szCs w:val="24"/>
              </w:rPr>
              <w:t>to properly reflect the new assumptions</w:t>
            </w:r>
            <w:r w:rsidR="00CA7D2A">
              <w:rPr>
                <w:rFonts w:cstheme="minorHAnsi"/>
                <w:sz w:val="24"/>
                <w:szCs w:val="24"/>
              </w:rPr>
              <w:t xml:space="preserve">/actions </w:t>
            </w:r>
            <w:r w:rsidR="008E75E5">
              <w:rPr>
                <w:rFonts w:cstheme="minorHAnsi"/>
                <w:sz w:val="24"/>
                <w:szCs w:val="24"/>
              </w:rPr>
              <w:t xml:space="preserve">and </w:t>
            </w:r>
            <w:r w:rsidR="00CA7D2A">
              <w:rPr>
                <w:rFonts w:cstheme="minorHAnsi"/>
                <w:sz w:val="24"/>
                <w:szCs w:val="24"/>
              </w:rPr>
              <w:t xml:space="preserve">to </w:t>
            </w:r>
            <w:r w:rsidR="008E75E5">
              <w:rPr>
                <w:rFonts w:cstheme="minorHAnsi"/>
                <w:sz w:val="24"/>
                <w:szCs w:val="24"/>
              </w:rPr>
              <w:t xml:space="preserve">provide a meaningful </w:t>
            </w:r>
            <w:r w:rsidR="00D41242">
              <w:rPr>
                <w:rFonts w:cstheme="minorHAnsi"/>
                <w:sz w:val="24"/>
                <w:szCs w:val="24"/>
              </w:rPr>
              <w:t xml:space="preserve">point of </w:t>
            </w:r>
            <w:r w:rsidR="008E75E5">
              <w:rPr>
                <w:rFonts w:cstheme="minorHAnsi"/>
                <w:sz w:val="24"/>
                <w:szCs w:val="24"/>
              </w:rPr>
              <w:t xml:space="preserve">reference </w:t>
            </w:r>
            <w:r w:rsidR="00D41242">
              <w:rPr>
                <w:rFonts w:cstheme="minorHAnsi"/>
                <w:sz w:val="24"/>
                <w:szCs w:val="24"/>
              </w:rPr>
              <w:t>to measure performance</w:t>
            </w:r>
            <w:r w:rsidR="008E75E5">
              <w:rPr>
                <w:rFonts w:cstheme="minorHAnsi"/>
                <w:sz w:val="24"/>
                <w:szCs w:val="24"/>
              </w:rPr>
              <w:t>.</w:t>
            </w:r>
          </w:p>
          <w:p w:rsidR="00753B09" w:rsidRDefault="00753B09" w:rsidP="00C4389F">
            <w:pPr>
              <w:spacing w:before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following amendments to the 202</w:t>
            </w:r>
            <w:r w:rsidR="00FE3BE2">
              <w:rPr>
                <w:rFonts w:cstheme="minorHAnsi"/>
                <w:sz w:val="24"/>
                <w:szCs w:val="24"/>
              </w:rPr>
              <w:t>2</w:t>
            </w:r>
            <w:r w:rsidR="008E75E5">
              <w:rPr>
                <w:rFonts w:cstheme="minorHAnsi"/>
                <w:sz w:val="24"/>
                <w:szCs w:val="24"/>
              </w:rPr>
              <w:t xml:space="preserve"> Budget </w:t>
            </w:r>
            <w:r>
              <w:rPr>
                <w:rFonts w:cstheme="minorHAnsi"/>
                <w:sz w:val="24"/>
                <w:szCs w:val="24"/>
              </w:rPr>
              <w:t>have been identified for approval</w:t>
            </w:r>
            <w:r w:rsidR="000630F7">
              <w:rPr>
                <w:rFonts w:cstheme="minorHAnsi"/>
                <w:sz w:val="24"/>
                <w:szCs w:val="24"/>
              </w:rPr>
              <w:t xml:space="preserve"> and are highlighted on the attached schedule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="00DD6208" w:rsidRPr="00F73459" w:rsidRDefault="003468C4" w:rsidP="00F73459">
            <w:pPr>
              <w:spacing w:before="240"/>
              <w:rPr>
                <w:rFonts w:cstheme="minorHAnsi"/>
                <w:sz w:val="24"/>
                <w:szCs w:val="24"/>
              </w:rPr>
            </w:pPr>
            <w:r w:rsidRPr="00F73459">
              <w:rPr>
                <w:rFonts w:cstheme="minorHAnsi"/>
                <w:sz w:val="24"/>
                <w:szCs w:val="24"/>
              </w:rPr>
              <w:t>The General Fund fiscal 2022 year is currently estimated to end the year with a $500,000 surplus of revenues over expenditures. This is largely driven by staffing costs falling below budget due to vacancies</w:t>
            </w:r>
            <w:r w:rsidR="00C23FB8" w:rsidRPr="00F73459">
              <w:rPr>
                <w:rFonts w:cstheme="minorHAnsi"/>
                <w:sz w:val="24"/>
                <w:szCs w:val="24"/>
              </w:rPr>
              <w:t xml:space="preserve"> and higher than estimated revenues (Room Tax and Interest)</w:t>
            </w:r>
            <w:r w:rsidRPr="00F73459">
              <w:rPr>
                <w:rFonts w:cstheme="minorHAnsi"/>
                <w:sz w:val="24"/>
                <w:szCs w:val="24"/>
              </w:rPr>
              <w:t xml:space="preserve">. We have traditionally evaluated how a portion of year-end surpluses may be used to provision for future needs that will reduce demands on future budgets and one-time expenses. The following transfers have been identified for closeout of the 2022 fiscal year. </w:t>
            </w:r>
          </w:p>
          <w:p w:rsidR="009A5CE5" w:rsidRPr="009A5CE5" w:rsidRDefault="006F6659" w:rsidP="006F6659">
            <w:pPr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 w:rsidRPr="006F6659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6400800" cy="1840825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0" cy="184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30F7" w:rsidRPr="00F73459" w:rsidRDefault="000630F7" w:rsidP="00F73459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1F1F92" w:rsidRPr="00083E46" w:rsidTr="00D63AE9">
        <w:tc>
          <w:tcPr>
            <w:tcW w:w="10615" w:type="dxa"/>
            <w:shd w:val="clear" w:color="auto" w:fill="DEEAF6" w:themeFill="accent5" w:themeFillTint="33"/>
          </w:tcPr>
          <w:p w:rsidR="001F1F92" w:rsidRDefault="001F1F92" w:rsidP="00232B0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PREVIOUS ACTIONS – COMMITTEE RECOMMENDATIONS</w:t>
            </w:r>
          </w:p>
          <w:p w:rsidR="00DC2CCA" w:rsidRPr="00DC2CCA" w:rsidRDefault="00DC2CCA" w:rsidP="00232B0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C2CCA">
              <w:rPr>
                <w:rFonts w:cstheme="minorHAnsi"/>
                <w:sz w:val="20"/>
                <w:szCs w:val="20"/>
              </w:rPr>
              <w:t>(Dates, committees, action taken)</w:t>
            </w:r>
          </w:p>
        </w:tc>
      </w:tr>
      <w:tr w:rsidR="001847EE" w:rsidRPr="00083E46" w:rsidTr="00D63AE9">
        <w:trPr>
          <w:trHeight w:val="720"/>
        </w:trPr>
        <w:tc>
          <w:tcPr>
            <w:tcW w:w="10615" w:type="dxa"/>
            <w:shd w:val="clear" w:color="auto" w:fill="auto"/>
          </w:tcPr>
          <w:p w:rsidR="00F73459" w:rsidRDefault="00F73459" w:rsidP="008629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11/2/2022</w:t>
            </w:r>
            <w:r>
              <w:rPr>
                <w:rFonts w:cstheme="minorHAnsi"/>
                <w:sz w:val="24"/>
                <w:szCs w:val="24"/>
              </w:rPr>
              <w:tab/>
              <w:t>Fire/EMS Referendum approved by voters</w:t>
            </w:r>
          </w:p>
          <w:p w:rsidR="00C845C0" w:rsidRPr="00083E46" w:rsidRDefault="00F73459" w:rsidP="0086290A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11/16/2022</w:t>
            </w:r>
            <w:r>
              <w:rPr>
                <w:rFonts w:cstheme="minorHAnsi"/>
                <w:sz w:val="24"/>
                <w:szCs w:val="24"/>
              </w:rPr>
              <w:tab/>
              <w:t>2023 Budget Adopted by Common Council</w:t>
            </w:r>
          </w:p>
        </w:tc>
      </w:tr>
      <w:tr w:rsidR="00232B00" w:rsidRPr="00083E46" w:rsidTr="00D63AE9">
        <w:tc>
          <w:tcPr>
            <w:tcW w:w="10615" w:type="dxa"/>
            <w:shd w:val="clear" w:color="auto" w:fill="DEEAF6" w:themeFill="accent5" w:themeFillTint="33"/>
          </w:tcPr>
          <w:p w:rsidR="00005A5C" w:rsidRDefault="00232B00" w:rsidP="00005A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3E46">
              <w:rPr>
                <w:rFonts w:cstheme="minorHAnsi"/>
                <w:sz w:val="24"/>
                <w:szCs w:val="24"/>
              </w:rPr>
              <w:t>FINANCIAL IMPACT</w:t>
            </w:r>
            <w:r w:rsidR="00005A5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32B00" w:rsidRPr="00083E46" w:rsidRDefault="00232B00" w:rsidP="00005A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83E46">
              <w:rPr>
                <w:rFonts w:eastAsia="Times New Roman" w:cstheme="minorHAnsi"/>
                <w:spacing w:val="2"/>
                <w:sz w:val="20"/>
                <w:szCs w:val="20"/>
              </w:rPr>
              <w:t>(</w:t>
            </w:r>
            <w:r w:rsidRPr="00083E46">
              <w:rPr>
                <w:rFonts w:eastAsia="Times New Roman" w:cstheme="minorHAnsi"/>
                <w:spacing w:val="-3"/>
                <w:sz w:val="20"/>
                <w:szCs w:val="20"/>
              </w:rPr>
              <w:t>I</w:t>
            </w:r>
            <w:r w:rsidRPr="00083E46">
              <w:rPr>
                <w:rFonts w:eastAsia="Times New Roman" w:cstheme="minorHAnsi"/>
                <w:sz w:val="20"/>
                <w:szCs w:val="20"/>
              </w:rPr>
              <w:t>f</w:t>
            </w:r>
            <w:r w:rsidRPr="00083E46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083E46">
              <w:rPr>
                <w:rFonts w:eastAsia="Times New Roman" w:cstheme="minorHAnsi"/>
                <w:sz w:val="20"/>
                <w:szCs w:val="20"/>
              </w:rPr>
              <w:t>non</w:t>
            </w:r>
            <w:r w:rsidRPr="00083E46">
              <w:rPr>
                <w:rFonts w:eastAsia="Times New Roman" w:cstheme="minorHAnsi"/>
                <w:spacing w:val="-1"/>
                <w:sz w:val="20"/>
                <w:szCs w:val="20"/>
              </w:rPr>
              <w:t>e</w:t>
            </w:r>
            <w:r w:rsidRPr="00083E46">
              <w:rPr>
                <w:rFonts w:eastAsia="Times New Roman" w:cstheme="minorHAnsi"/>
                <w:sz w:val="20"/>
                <w:szCs w:val="20"/>
              </w:rPr>
              <w:t>, st</w:t>
            </w:r>
            <w:r w:rsidRPr="00083E46">
              <w:rPr>
                <w:rFonts w:eastAsia="Times New Roman" w:cstheme="minorHAnsi"/>
                <w:spacing w:val="-1"/>
                <w:sz w:val="20"/>
                <w:szCs w:val="20"/>
              </w:rPr>
              <w:t>a</w:t>
            </w:r>
            <w:r w:rsidRPr="00083E46">
              <w:rPr>
                <w:rFonts w:eastAsia="Times New Roman" w:cstheme="minorHAnsi"/>
                <w:sz w:val="20"/>
                <w:szCs w:val="20"/>
              </w:rPr>
              <w:t>te N/A)</w:t>
            </w:r>
          </w:p>
        </w:tc>
      </w:tr>
      <w:tr w:rsidR="00232B00" w:rsidRPr="00083E46" w:rsidTr="00D63AE9">
        <w:trPr>
          <w:trHeight w:val="288"/>
        </w:trPr>
        <w:tc>
          <w:tcPr>
            <w:tcW w:w="10615" w:type="dxa"/>
            <w:shd w:val="clear" w:color="auto" w:fill="auto"/>
          </w:tcPr>
          <w:p w:rsidR="00E81204" w:rsidRDefault="00F73459" w:rsidP="00E81204">
            <w:pPr>
              <w:spacing w:before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Approval of proposed transfers will reduce the anticipated General Fund surplus. An estimated $200,000 surplus will remain within the General Fund to increase the unassigned Fund Balance.</w:t>
            </w:r>
          </w:p>
          <w:p w:rsidR="00F73459" w:rsidRPr="00E81204" w:rsidRDefault="00F73459" w:rsidP="00E81204">
            <w:pPr>
              <w:spacing w:before="240"/>
              <w:rPr>
                <w:rFonts w:cstheme="minorHAnsi"/>
                <w:sz w:val="24"/>
                <w:szCs w:val="24"/>
              </w:rPr>
            </w:pPr>
          </w:p>
        </w:tc>
      </w:tr>
      <w:tr w:rsidR="00232B00" w:rsidRPr="00083E46" w:rsidTr="00D63AE9">
        <w:tc>
          <w:tcPr>
            <w:tcW w:w="10615" w:type="dxa"/>
            <w:shd w:val="clear" w:color="auto" w:fill="DEEAF6" w:themeFill="accent5" w:themeFillTint="33"/>
          </w:tcPr>
          <w:p w:rsidR="00232B00" w:rsidRPr="00083E46" w:rsidRDefault="00232B00" w:rsidP="00232B0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83E46">
              <w:rPr>
                <w:rFonts w:eastAsia="Times New Roman" w:cstheme="minorHAnsi"/>
                <w:sz w:val="24"/>
                <w:szCs w:val="24"/>
              </w:rPr>
              <w:lastRenderedPageBreak/>
              <w:t>STA</w:t>
            </w:r>
            <w:r w:rsidRPr="00083E46">
              <w:rPr>
                <w:rFonts w:eastAsia="Times New Roman" w:cstheme="minorHAnsi"/>
                <w:spacing w:val="-1"/>
                <w:sz w:val="24"/>
                <w:szCs w:val="24"/>
              </w:rPr>
              <w:t>F</w:t>
            </w:r>
            <w:r w:rsidRPr="00083E46">
              <w:rPr>
                <w:rFonts w:eastAsia="Times New Roman" w:cstheme="minorHAnsi"/>
                <w:sz w:val="24"/>
                <w:szCs w:val="24"/>
              </w:rPr>
              <w:t>F</w:t>
            </w:r>
            <w:r w:rsidRPr="00083E46"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 w:rsidRPr="00083E46">
              <w:rPr>
                <w:rFonts w:eastAsia="Times New Roman" w:cstheme="minorHAnsi"/>
                <w:spacing w:val="1"/>
                <w:sz w:val="24"/>
                <w:szCs w:val="24"/>
              </w:rPr>
              <w:t>R</w:t>
            </w:r>
            <w:r w:rsidRPr="00083E46">
              <w:rPr>
                <w:rFonts w:eastAsia="Times New Roman" w:cstheme="minorHAnsi"/>
                <w:sz w:val="24"/>
                <w:szCs w:val="24"/>
              </w:rPr>
              <w:t>E</w:t>
            </w:r>
            <w:r w:rsidRPr="00083E46">
              <w:rPr>
                <w:rFonts w:eastAsia="Times New Roman" w:cstheme="minorHAnsi"/>
                <w:spacing w:val="1"/>
                <w:sz w:val="24"/>
                <w:szCs w:val="24"/>
              </w:rPr>
              <w:t>C</w:t>
            </w:r>
            <w:r w:rsidRPr="00083E46">
              <w:rPr>
                <w:rFonts w:eastAsia="Times New Roman" w:cstheme="minorHAnsi"/>
                <w:sz w:val="24"/>
                <w:szCs w:val="24"/>
              </w:rPr>
              <w:t>OMMEN</w:t>
            </w:r>
            <w:r w:rsidRPr="00083E46">
              <w:rPr>
                <w:rFonts w:eastAsia="Times New Roman" w:cstheme="minorHAnsi"/>
                <w:spacing w:val="2"/>
                <w:sz w:val="24"/>
                <w:szCs w:val="24"/>
              </w:rPr>
              <w:t>D</w:t>
            </w:r>
            <w:r w:rsidRPr="00083E46">
              <w:rPr>
                <w:rFonts w:eastAsia="Times New Roman" w:cstheme="minorHAnsi"/>
                <w:sz w:val="24"/>
                <w:szCs w:val="24"/>
              </w:rPr>
              <w:t>A</w:t>
            </w:r>
            <w:r w:rsidRPr="00083E46">
              <w:rPr>
                <w:rFonts w:eastAsia="Times New Roman" w:cstheme="minorHAnsi"/>
                <w:spacing w:val="2"/>
                <w:sz w:val="24"/>
                <w:szCs w:val="24"/>
              </w:rPr>
              <w:t>T</w:t>
            </w:r>
            <w:r w:rsidRPr="00083E46">
              <w:rPr>
                <w:rFonts w:eastAsia="Times New Roman" w:cstheme="minorHAnsi"/>
                <w:spacing w:val="-3"/>
                <w:sz w:val="24"/>
                <w:szCs w:val="24"/>
              </w:rPr>
              <w:t>I</w:t>
            </w:r>
            <w:r w:rsidRPr="00083E46">
              <w:rPr>
                <w:rFonts w:eastAsia="Times New Roman" w:cstheme="minorHAnsi"/>
                <w:sz w:val="24"/>
                <w:szCs w:val="24"/>
              </w:rPr>
              <w:t>ON</w:t>
            </w:r>
          </w:p>
        </w:tc>
      </w:tr>
      <w:tr w:rsidR="00232B00" w:rsidRPr="00083E46" w:rsidTr="00D63AE9">
        <w:trPr>
          <w:trHeight w:val="576"/>
        </w:trPr>
        <w:tc>
          <w:tcPr>
            <w:tcW w:w="10615" w:type="dxa"/>
          </w:tcPr>
          <w:p w:rsidR="00232B00" w:rsidRPr="00083E46" w:rsidRDefault="00186798" w:rsidP="000C04E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Move </w:t>
            </w:r>
            <w:r w:rsidR="002B3FED">
              <w:rPr>
                <w:sz w:val="24"/>
                <w:szCs w:val="24"/>
              </w:rPr>
              <w:t xml:space="preserve">approval </w:t>
            </w:r>
            <w:r w:rsidR="00361C68"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>202</w:t>
            </w:r>
            <w:r w:rsidR="00F73459">
              <w:rPr>
                <w:sz w:val="24"/>
                <w:szCs w:val="24"/>
              </w:rPr>
              <w:t>2</w:t>
            </w:r>
            <w:r w:rsidR="00A417BF">
              <w:rPr>
                <w:sz w:val="24"/>
                <w:szCs w:val="24"/>
              </w:rPr>
              <w:t xml:space="preserve"> </w:t>
            </w:r>
            <w:r w:rsidR="007D1E9F">
              <w:rPr>
                <w:sz w:val="24"/>
                <w:szCs w:val="24"/>
              </w:rPr>
              <w:t xml:space="preserve">Budget Amendment # </w:t>
            </w:r>
            <w:r w:rsidR="00D63AE9">
              <w:rPr>
                <w:sz w:val="24"/>
                <w:szCs w:val="24"/>
              </w:rPr>
              <w:t>2</w:t>
            </w:r>
            <w:r w:rsidR="002B3FED">
              <w:rPr>
                <w:sz w:val="24"/>
                <w:szCs w:val="24"/>
              </w:rPr>
              <w:t xml:space="preserve"> as attached</w:t>
            </w:r>
            <w:r>
              <w:rPr>
                <w:sz w:val="24"/>
                <w:szCs w:val="24"/>
              </w:rPr>
              <w:t>.</w:t>
            </w:r>
          </w:p>
        </w:tc>
      </w:tr>
      <w:tr w:rsidR="00232B00" w:rsidRPr="00083E46" w:rsidTr="00D63AE9">
        <w:tc>
          <w:tcPr>
            <w:tcW w:w="10615" w:type="dxa"/>
            <w:shd w:val="clear" w:color="auto" w:fill="DEEAF6" w:themeFill="accent5" w:themeFillTint="33"/>
          </w:tcPr>
          <w:p w:rsidR="00232B00" w:rsidRPr="00083E46" w:rsidRDefault="00232B00" w:rsidP="00232B00">
            <w:pPr>
              <w:ind w:left="-360" w:right="-520" w:firstLine="10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83E46">
              <w:rPr>
                <w:rFonts w:eastAsia="Times New Roman" w:cstheme="minorHAnsi"/>
                <w:sz w:val="24"/>
                <w:szCs w:val="24"/>
              </w:rPr>
              <w:t>ATTA</w:t>
            </w:r>
            <w:r w:rsidRPr="00083E46">
              <w:rPr>
                <w:rFonts w:eastAsia="Times New Roman" w:cstheme="minorHAnsi"/>
                <w:spacing w:val="1"/>
                <w:sz w:val="24"/>
                <w:szCs w:val="24"/>
              </w:rPr>
              <w:t>C</w:t>
            </w:r>
            <w:r w:rsidRPr="00083E46">
              <w:rPr>
                <w:rFonts w:eastAsia="Times New Roman" w:cstheme="minorHAnsi"/>
                <w:sz w:val="24"/>
                <w:szCs w:val="24"/>
              </w:rPr>
              <w:t>HMENT</w:t>
            </w:r>
            <w:r w:rsidRPr="00083E46">
              <w:rPr>
                <w:rFonts w:eastAsia="Times New Roman" w:cstheme="minorHAnsi"/>
                <w:spacing w:val="-1"/>
                <w:sz w:val="24"/>
                <w:szCs w:val="24"/>
              </w:rPr>
              <w:t>(</w:t>
            </w:r>
            <w:r w:rsidRPr="00083E46">
              <w:rPr>
                <w:rFonts w:eastAsia="Times New Roman" w:cstheme="minorHAnsi"/>
                <w:spacing w:val="1"/>
                <w:sz w:val="24"/>
                <w:szCs w:val="24"/>
              </w:rPr>
              <w:t>S</w:t>
            </w:r>
            <w:r w:rsidRPr="00083E46">
              <w:rPr>
                <w:rFonts w:eastAsia="Times New Roman" w:cstheme="minorHAnsi"/>
                <w:sz w:val="24"/>
                <w:szCs w:val="24"/>
              </w:rPr>
              <w:t>)</w:t>
            </w:r>
            <w:r w:rsidRPr="00083E46">
              <w:rPr>
                <w:rFonts w:eastAsia="Times New Roman" w:cstheme="minorHAnsi"/>
                <w:spacing w:val="2"/>
                <w:sz w:val="24"/>
                <w:szCs w:val="24"/>
              </w:rPr>
              <w:t xml:space="preserve"> </w:t>
            </w:r>
            <w:r w:rsidRPr="00083E46">
              <w:rPr>
                <w:rFonts w:eastAsia="Times New Roman" w:cstheme="minorHAnsi"/>
                <w:spacing w:val="-3"/>
                <w:sz w:val="24"/>
                <w:szCs w:val="24"/>
              </w:rPr>
              <w:t>I</w:t>
            </w:r>
            <w:r w:rsidRPr="00083E46">
              <w:rPr>
                <w:rFonts w:eastAsia="Times New Roman" w:cstheme="minorHAnsi"/>
                <w:sz w:val="24"/>
                <w:szCs w:val="24"/>
              </w:rPr>
              <w:t>N</w:t>
            </w:r>
            <w:r w:rsidRPr="00083E46">
              <w:rPr>
                <w:rFonts w:eastAsia="Times New Roman" w:cstheme="minorHAnsi"/>
                <w:spacing w:val="3"/>
                <w:sz w:val="24"/>
                <w:szCs w:val="24"/>
              </w:rPr>
              <w:t>C</w:t>
            </w:r>
            <w:r w:rsidRPr="00083E46">
              <w:rPr>
                <w:rFonts w:eastAsia="Times New Roman" w:cstheme="minorHAnsi"/>
                <w:spacing w:val="-3"/>
                <w:sz w:val="24"/>
                <w:szCs w:val="24"/>
              </w:rPr>
              <w:t>L</w:t>
            </w:r>
            <w:r w:rsidRPr="00083E46">
              <w:rPr>
                <w:rFonts w:eastAsia="Times New Roman" w:cstheme="minorHAnsi"/>
                <w:spacing w:val="2"/>
                <w:sz w:val="24"/>
                <w:szCs w:val="24"/>
              </w:rPr>
              <w:t>U</w:t>
            </w:r>
            <w:r w:rsidRPr="00083E46">
              <w:rPr>
                <w:rFonts w:eastAsia="Times New Roman" w:cstheme="minorHAnsi"/>
                <w:sz w:val="24"/>
                <w:szCs w:val="24"/>
              </w:rPr>
              <w:t xml:space="preserve">DED </w:t>
            </w:r>
          </w:p>
          <w:p w:rsidR="00232B00" w:rsidRPr="00DC2CCA" w:rsidRDefault="00232B00" w:rsidP="00232B00">
            <w:pPr>
              <w:ind w:left="-360" w:right="-520" w:firstLine="1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DC2CCA">
              <w:rPr>
                <w:rFonts w:eastAsia="Times New Roman" w:cstheme="minorHAnsi"/>
                <w:spacing w:val="2"/>
                <w:sz w:val="20"/>
                <w:szCs w:val="20"/>
              </w:rPr>
              <w:t>(</w:t>
            </w:r>
            <w:r w:rsidRPr="00DC2CCA">
              <w:rPr>
                <w:rFonts w:eastAsia="Times New Roman" w:cstheme="minorHAnsi"/>
                <w:spacing w:val="-3"/>
                <w:sz w:val="20"/>
                <w:szCs w:val="20"/>
              </w:rPr>
              <w:t>I</w:t>
            </w:r>
            <w:r w:rsidRPr="00DC2CCA">
              <w:rPr>
                <w:rFonts w:eastAsia="Times New Roman" w:cstheme="minorHAnsi"/>
                <w:sz w:val="20"/>
                <w:szCs w:val="20"/>
              </w:rPr>
              <w:t>f</w:t>
            </w:r>
            <w:r w:rsidRPr="00DC2CCA">
              <w:rPr>
                <w:rFonts w:eastAsia="Times New Roman" w:cstheme="minorHAnsi"/>
                <w:spacing w:val="2"/>
                <w:sz w:val="20"/>
                <w:szCs w:val="20"/>
              </w:rPr>
              <w:t xml:space="preserve"> </w:t>
            </w:r>
            <w:r w:rsidRPr="00DC2CCA">
              <w:rPr>
                <w:rFonts w:eastAsia="Times New Roman" w:cstheme="minorHAnsi"/>
                <w:sz w:val="20"/>
                <w:szCs w:val="20"/>
              </w:rPr>
              <w:t>non</w:t>
            </w:r>
            <w:r w:rsidRPr="00DC2CCA">
              <w:rPr>
                <w:rFonts w:eastAsia="Times New Roman" w:cstheme="minorHAnsi"/>
                <w:spacing w:val="-1"/>
                <w:sz w:val="20"/>
                <w:szCs w:val="20"/>
              </w:rPr>
              <w:t>e</w:t>
            </w:r>
            <w:r w:rsidRPr="00DC2CCA">
              <w:rPr>
                <w:rFonts w:eastAsia="Times New Roman" w:cstheme="minorHAnsi"/>
                <w:sz w:val="20"/>
                <w:szCs w:val="20"/>
              </w:rPr>
              <w:t>, st</w:t>
            </w:r>
            <w:r w:rsidRPr="00DC2CCA">
              <w:rPr>
                <w:rFonts w:eastAsia="Times New Roman" w:cstheme="minorHAnsi"/>
                <w:spacing w:val="-1"/>
                <w:sz w:val="20"/>
                <w:szCs w:val="20"/>
              </w:rPr>
              <w:t>a</w:t>
            </w:r>
            <w:r w:rsidRPr="00DC2CCA">
              <w:rPr>
                <w:rFonts w:eastAsia="Times New Roman" w:cstheme="minorHAnsi"/>
                <w:sz w:val="20"/>
                <w:szCs w:val="20"/>
              </w:rPr>
              <w:t>te N/A)</w:t>
            </w:r>
          </w:p>
        </w:tc>
      </w:tr>
      <w:tr w:rsidR="00232B00" w:rsidRPr="00083E46" w:rsidTr="00D63AE9">
        <w:trPr>
          <w:trHeight w:val="864"/>
        </w:trPr>
        <w:tc>
          <w:tcPr>
            <w:tcW w:w="10615" w:type="dxa"/>
          </w:tcPr>
          <w:p w:rsidR="00A417BF" w:rsidRPr="000C04E6" w:rsidRDefault="00186798" w:rsidP="000C04E6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B7F4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7D1E9F">
              <w:rPr>
                <w:sz w:val="24"/>
                <w:szCs w:val="24"/>
              </w:rPr>
              <w:t>Budget Amendment #</w:t>
            </w:r>
            <w:r w:rsidR="00762EF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.pd</w:t>
            </w:r>
            <w:r w:rsidR="000C04E6">
              <w:rPr>
                <w:sz w:val="24"/>
                <w:szCs w:val="24"/>
              </w:rPr>
              <w:t>f</w:t>
            </w:r>
          </w:p>
        </w:tc>
      </w:tr>
    </w:tbl>
    <w:p w:rsidR="00232B00" w:rsidRPr="00083E46" w:rsidRDefault="00232B00">
      <w:pPr>
        <w:rPr>
          <w:sz w:val="24"/>
          <w:szCs w:val="24"/>
        </w:rPr>
      </w:pPr>
    </w:p>
    <w:sectPr w:rsidR="00232B00" w:rsidRPr="00083E46" w:rsidSect="00232B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B93" w:rsidRDefault="00F04B93" w:rsidP="00390F20">
      <w:pPr>
        <w:spacing w:after="0" w:line="240" w:lineRule="auto"/>
      </w:pPr>
      <w:r>
        <w:separator/>
      </w:r>
    </w:p>
  </w:endnote>
  <w:endnote w:type="continuationSeparator" w:id="0">
    <w:p w:rsidR="00F04B93" w:rsidRDefault="00F04B93" w:rsidP="0039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B93" w:rsidRDefault="00F04B93" w:rsidP="00390F20">
      <w:pPr>
        <w:spacing w:after="0" w:line="240" w:lineRule="auto"/>
      </w:pPr>
      <w:r>
        <w:separator/>
      </w:r>
    </w:p>
  </w:footnote>
  <w:footnote w:type="continuationSeparator" w:id="0">
    <w:p w:rsidR="00F04B93" w:rsidRDefault="00F04B93" w:rsidP="00390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46A26"/>
    <w:multiLevelType w:val="hybridMultilevel"/>
    <w:tmpl w:val="0FFA5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916BE"/>
    <w:multiLevelType w:val="hybridMultilevel"/>
    <w:tmpl w:val="93C43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05F6"/>
    <w:multiLevelType w:val="hybridMultilevel"/>
    <w:tmpl w:val="D770978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3475AF7"/>
    <w:multiLevelType w:val="hybridMultilevel"/>
    <w:tmpl w:val="E320C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0311"/>
    <w:multiLevelType w:val="hybridMultilevel"/>
    <w:tmpl w:val="B92A0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93"/>
    <w:rsid w:val="00001086"/>
    <w:rsid w:val="0000355B"/>
    <w:rsid w:val="00005A5C"/>
    <w:rsid w:val="00022C7D"/>
    <w:rsid w:val="00026724"/>
    <w:rsid w:val="00042ED3"/>
    <w:rsid w:val="0005035A"/>
    <w:rsid w:val="000630F7"/>
    <w:rsid w:val="00063239"/>
    <w:rsid w:val="00065075"/>
    <w:rsid w:val="00083E46"/>
    <w:rsid w:val="00087BDE"/>
    <w:rsid w:val="000C04E6"/>
    <w:rsid w:val="000C34AD"/>
    <w:rsid w:val="000C3BC1"/>
    <w:rsid w:val="001165D1"/>
    <w:rsid w:val="001345FF"/>
    <w:rsid w:val="00174F03"/>
    <w:rsid w:val="001847EE"/>
    <w:rsid w:val="00186798"/>
    <w:rsid w:val="00190673"/>
    <w:rsid w:val="001A3A47"/>
    <w:rsid w:val="001D7CB2"/>
    <w:rsid w:val="001F1F92"/>
    <w:rsid w:val="001F6DB1"/>
    <w:rsid w:val="00210AE6"/>
    <w:rsid w:val="00232B00"/>
    <w:rsid w:val="00275927"/>
    <w:rsid w:val="0029633B"/>
    <w:rsid w:val="002A6705"/>
    <w:rsid w:val="002B3FED"/>
    <w:rsid w:val="002C7D52"/>
    <w:rsid w:val="002D5758"/>
    <w:rsid w:val="002E2FD2"/>
    <w:rsid w:val="00334806"/>
    <w:rsid w:val="003468C4"/>
    <w:rsid w:val="00346DA1"/>
    <w:rsid w:val="00361C68"/>
    <w:rsid w:val="00370D77"/>
    <w:rsid w:val="00385E5B"/>
    <w:rsid w:val="00390F20"/>
    <w:rsid w:val="004111D8"/>
    <w:rsid w:val="00460362"/>
    <w:rsid w:val="00500CC0"/>
    <w:rsid w:val="00567E97"/>
    <w:rsid w:val="005F7D5D"/>
    <w:rsid w:val="00607E04"/>
    <w:rsid w:val="00633697"/>
    <w:rsid w:val="0065279F"/>
    <w:rsid w:val="00664860"/>
    <w:rsid w:val="00664D49"/>
    <w:rsid w:val="00675A46"/>
    <w:rsid w:val="006B3E2D"/>
    <w:rsid w:val="006F6659"/>
    <w:rsid w:val="00700EA5"/>
    <w:rsid w:val="00701A7E"/>
    <w:rsid w:val="00724422"/>
    <w:rsid w:val="007456C2"/>
    <w:rsid w:val="00751C98"/>
    <w:rsid w:val="00753B09"/>
    <w:rsid w:val="00762EFD"/>
    <w:rsid w:val="00794E5E"/>
    <w:rsid w:val="007B7F4A"/>
    <w:rsid w:val="007D1E9F"/>
    <w:rsid w:val="008079D1"/>
    <w:rsid w:val="008146FD"/>
    <w:rsid w:val="0083288C"/>
    <w:rsid w:val="008615B0"/>
    <w:rsid w:val="0086290A"/>
    <w:rsid w:val="00892DF7"/>
    <w:rsid w:val="008A00F9"/>
    <w:rsid w:val="008C7A2A"/>
    <w:rsid w:val="008E75E5"/>
    <w:rsid w:val="008F7743"/>
    <w:rsid w:val="00921D5F"/>
    <w:rsid w:val="00926F92"/>
    <w:rsid w:val="009459BE"/>
    <w:rsid w:val="00980ACC"/>
    <w:rsid w:val="00986E7A"/>
    <w:rsid w:val="009871A4"/>
    <w:rsid w:val="009A5CE5"/>
    <w:rsid w:val="009A6950"/>
    <w:rsid w:val="009B46BF"/>
    <w:rsid w:val="009C7D0A"/>
    <w:rsid w:val="009D3381"/>
    <w:rsid w:val="009E55C0"/>
    <w:rsid w:val="00A417BF"/>
    <w:rsid w:val="00A918C7"/>
    <w:rsid w:val="00B06007"/>
    <w:rsid w:val="00B12FB1"/>
    <w:rsid w:val="00B36425"/>
    <w:rsid w:val="00B755E6"/>
    <w:rsid w:val="00BC1CEE"/>
    <w:rsid w:val="00C16E77"/>
    <w:rsid w:val="00C23FB8"/>
    <w:rsid w:val="00C4389F"/>
    <w:rsid w:val="00C669E6"/>
    <w:rsid w:val="00C845C0"/>
    <w:rsid w:val="00CA043D"/>
    <w:rsid w:val="00CA7D2A"/>
    <w:rsid w:val="00CC7231"/>
    <w:rsid w:val="00CE7799"/>
    <w:rsid w:val="00D41242"/>
    <w:rsid w:val="00D63AE9"/>
    <w:rsid w:val="00D65DC8"/>
    <w:rsid w:val="00D7009F"/>
    <w:rsid w:val="00D91684"/>
    <w:rsid w:val="00D96CB0"/>
    <w:rsid w:val="00DB1D4C"/>
    <w:rsid w:val="00DC2CCA"/>
    <w:rsid w:val="00DD6208"/>
    <w:rsid w:val="00E0697F"/>
    <w:rsid w:val="00E36555"/>
    <w:rsid w:val="00E81204"/>
    <w:rsid w:val="00E8252D"/>
    <w:rsid w:val="00ED07B1"/>
    <w:rsid w:val="00EF79C8"/>
    <w:rsid w:val="00F04B93"/>
    <w:rsid w:val="00F14E0D"/>
    <w:rsid w:val="00F634D5"/>
    <w:rsid w:val="00F73459"/>
    <w:rsid w:val="00F80C11"/>
    <w:rsid w:val="00FA5E53"/>
    <w:rsid w:val="00FC2C17"/>
    <w:rsid w:val="00FC5BA4"/>
    <w:rsid w:val="00FC6737"/>
    <w:rsid w:val="00FD1EA8"/>
    <w:rsid w:val="00FE3BE2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C336A7E"/>
  <w15:chartTrackingRefBased/>
  <w15:docId w15:val="{6ED45129-768D-43B9-BD5F-92390BB4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64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64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3E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F20"/>
  </w:style>
  <w:style w:type="paragraph" w:styleId="Footer">
    <w:name w:val="footer"/>
    <w:basedOn w:val="Normal"/>
    <w:link w:val="FooterChar"/>
    <w:uiPriority w:val="99"/>
    <w:unhideWhenUsed/>
    <w:rsid w:val="00390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20"/>
  </w:style>
  <w:style w:type="paragraph" w:styleId="PlainText">
    <w:name w:val="Plain Text"/>
    <w:basedOn w:val="Normal"/>
    <w:link w:val="PlainTextChar"/>
    <w:rsid w:val="0083288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328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shatton@whitewater-wi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\Agenda%20Assembly\Common%20Council\Council%20Agenda%20Backup%20Template%20-%202019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7985-F1D0-4874-9432-C9925C76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Agenda Backup Template - 2019 version.dotx</Template>
  <TotalTime>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Hatton</dc:creator>
  <cp:keywords/>
  <dc:description/>
  <cp:lastModifiedBy>Steve Hatton</cp:lastModifiedBy>
  <cp:revision>3</cp:revision>
  <cp:lastPrinted>2019-05-24T16:21:00Z</cp:lastPrinted>
  <dcterms:created xsi:type="dcterms:W3CDTF">2022-12-28T20:20:00Z</dcterms:created>
  <dcterms:modified xsi:type="dcterms:W3CDTF">2023-01-27T20:55:00Z</dcterms:modified>
</cp:coreProperties>
</file>